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23CD2">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«___</w:t>
      </w:r>
      <w:r w:rsidR="00023CD2">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23CD2">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0E3D5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p>
    <w:p w:rsidR="008F24BC" w:rsidRPr="002F5F2D" w:rsidRDefault="008F24BC"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w:t>
      </w:r>
      <w:r w:rsidR="0051492F">
        <w:rPr>
          <w:rFonts w:ascii="Times New Roman" w:hAnsi="Times New Roman" w:cs="Times New Roman"/>
          <w:bCs/>
          <w:iCs/>
        </w:rPr>
        <w:t xml:space="preserve"> </w:t>
      </w:r>
      <w:r w:rsidR="005041CE">
        <w:rPr>
          <w:rFonts w:ascii="Times New Roman" w:hAnsi="Times New Roman" w:cs="Times New Roman"/>
          <w:b/>
          <w:bCs/>
          <w:iCs/>
        </w:rPr>
        <w:t>_</w:t>
      </w:r>
      <w:proofErr w:type="gramEnd"/>
      <w:r w:rsidR="005041CE">
        <w:rPr>
          <w:rFonts w:ascii="Times New Roman" w:hAnsi="Times New Roman" w:cs="Times New Roman"/>
          <w:b/>
          <w:bCs/>
          <w:iCs/>
        </w:rPr>
        <w:t>____</w:t>
      </w:r>
      <w:r w:rsidR="0051492F">
        <w:rPr>
          <w:rFonts w:ascii="Times New Roman" w:hAnsi="Times New Roman" w:cs="Times New Roman"/>
          <w:bCs/>
          <w:iCs/>
        </w:rPr>
        <w:t xml:space="preserve"> </w:t>
      </w:r>
      <w:r w:rsidR="00322DBA">
        <w:rPr>
          <w:rFonts w:ascii="Times New Roman" w:hAnsi="Times New Roman" w:cs="Times New Roman"/>
          <w:bCs/>
          <w:iCs/>
        </w:rPr>
        <w:t>именуемое в дальнейшем «По</w:t>
      </w:r>
      <w:r w:rsidRPr="002F5F2D">
        <w:rPr>
          <w:rFonts w:ascii="Times New Roman" w:hAnsi="Times New Roman" w:cs="Times New Roman"/>
          <w:bCs/>
          <w:iCs/>
        </w:rPr>
        <w:t xml:space="preserve">дрядчик», в лице </w:t>
      </w:r>
      <w:r w:rsidR="005041CE">
        <w:rPr>
          <w:rFonts w:ascii="Times New Roman" w:hAnsi="Times New Roman" w:cs="Times New Roman"/>
          <w:bCs/>
          <w:iCs/>
        </w:rPr>
        <w:t>____</w:t>
      </w:r>
      <w:r w:rsidRPr="002F5F2D">
        <w:rPr>
          <w:rFonts w:ascii="Times New Roman" w:hAnsi="Times New Roman" w:cs="Times New Roman"/>
          <w:bCs/>
          <w:iCs/>
        </w:rPr>
        <w:t xml:space="preserve">, действующего на основании </w:t>
      </w:r>
      <w:r w:rsidR="005041CE">
        <w:rPr>
          <w:rFonts w:ascii="Times New Roman" w:hAnsi="Times New Roman" w:cs="Times New Roman"/>
          <w:bCs/>
          <w:iCs/>
        </w:rPr>
        <w:t>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w:t>
      </w:r>
      <w:r w:rsidR="0051492F">
        <w:rPr>
          <w:rFonts w:ascii="Times New Roman" w:hAnsi="Times New Roman" w:cs="Times New Roman"/>
          <w:bCs/>
          <w:iCs/>
        </w:rPr>
        <w:t xml:space="preserve">закупки </w:t>
      </w:r>
      <w:r w:rsidR="00023CD2">
        <w:rPr>
          <w:rFonts w:ascii="Times New Roman" w:hAnsi="Times New Roman" w:cs="Times New Roman"/>
          <w:bCs/>
          <w:iCs/>
        </w:rPr>
        <w:t xml:space="preserve">от </w:t>
      </w:r>
      <w:r w:rsidR="005041CE">
        <w:rPr>
          <w:rFonts w:ascii="Times New Roman" w:hAnsi="Times New Roman" w:cs="Times New Roman"/>
          <w:bCs/>
          <w:iCs/>
        </w:rPr>
        <w:t>___ ______</w:t>
      </w:r>
      <w:r w:rsidR="0051492F">
        <w:rPr>
          <w:rFonts w:ascii="Times New Roman" w:hAnsi="Times New Roman" w:cs="Times New Roman"/>
          <w:bCs/>
          <w:iCs/>
        </w:rPr>
        <w:t>2022</w:t>
      </w:r>
      <w:r w:rsidR="00023CD2">
        <w:rPr>
          <w:rFonts w:ascii="Times New Roman" w:hAnsi="Times New Roman" w:cs="Times New Roman"/>
          <w:bCs/>
          <w:iCs/>
        </w:rPr>
        <w:t xml:space="preserve"> года </w:t>
      </w:r>
      <w:r w:rsidR="00C71F54">
        <w:rPr>
          <w:rFonts w:ascii="Times New Roman" w:hAnsi="Times New Roman" w:cs="Times New Roman"/>
          <w:bCs/>
          <w:iCs/>
        </w:rPr>
        <w:t xml:space="preserve"> </w:t>
      </w:r>
      <w:r w:rsidR="00023CD2">
        <w:rPr>
          <w:rFonts w:ascii="Times New Roman" w:hAnsi="Times New Roman" w:cs="Times New Roman"/>
          <w:bCs/>
          <w:iCs/>
        </w:rPr>
        <w:t>№</w:t>
      </w:r>
      <w:r w:rsidR="005041CE">
        <w:rPr>
          <w:rFonts w:ascii="Times New Roman" w:hAnsi="Times New Roman" w:cs="Times New Roman"/>
          <w:bCs/>
          <w:iCs/>
        </w:rPr>
        <w:t>_____</w:t>
      </w:r>
      <w:r w:rsidRPr="002F5F2D">
        <w:rPr>
          <w:rFonts w:ascii="Times New Roman" w:hAnsi="Times New Roman" w:cs="Times New Roman"/>
          <w:bCs/>
          <w:iCs/>
        </w:rPr>
        <w:t>, заключили настоящий Договор на (да</w:t>
      </w:r>
      <w:r w:rsidR="000C0FF6" w:rsidRPr="002F5F2D">
        <w:rPr>
          <w:rFonts w:ascii="Times New Roman" w:hAnsi="Times New Roman" w:cs="Times New Roman"/>
          <w:bCs/>
          <w:iCs/>
        </w:rPr>
        <w:t>лее – Договор)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226B1" w:rsidRDefault="008F24BC" w:rsidP="00E226B1">
      <w:pPr>
        <w:autoSpaceDE w:val="0"/>
        <w:autoSpaceDN w:val="0"/>
        <w:adjustRightInd w:val="0"/>
        <w:spacing w:after="0" w:line="240" w:lineRule="auto"/>
        <w:ind w:firstLine="709"/>
        <w:jc w:val="both"/>
        <w:rPr>
          <w:rFonts w:ascii="Times New Roman" w:hAnsi="Times New Roman" w:cs="Times New Roman"/>
          <w:i/>
          <w:u w:val="single"/>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E226B1">
        <w:rPr>
          <w:rFonts w:ascii="Times New Roman" w:hAnsi="Times New Roman" w:cs="Times New Roman"/>
        </w:rPr>
        <w:t xml:space="preserve">строительно-монтажные работы по объекту: </w:t>
      </w:r>
      <w:r w:rsidR="00E53888" w:rsidRPr="00E53888">
        <w:rPr>
          <w:rFonts w:ascii="Times New Roman" w:hAnsi="Times New Roman" w:cs="Times New Roman"/>
          <w:i/>
          <w:u w:val="single"/>
        </w:rPr>
        <w:t xml:space="preserve">«Водопроводная линия Дн-110мм для подключения </w:t>
      </w:r>
      <w:r w:rsidR="008F2B6D">
        <w:rPr>
          <w:rFonts w:ascii="Times New Roman" w:hAnsi="Times New Roman" w:cs="Times New Roman"/>
          <w:i/>
          <w:u w:val="single"/>
        </w:rPr>
        <w:t xml:space="preserve">к </w:t>
      </w:r>
      <w:r w:rsidR="00E53888" w:rsidRPr="00E53888">
        <w:rPr>
          <w:rFonts w:ascii="Times New Roman" w:hAnsi="Times New Roman" w:cs="Times New Roman"/>
          <w:i/>
          <w:u w:val="single"/>
        </w:rPr>
        <w:t>централизованной системе водоснабжения объекта «Жилой дом по адресу: г. Самара, Октябрьский р-н., Советской Армии, 290А». «Централизованные сети водоотведения для подключения к централизованной системе водоотведения объекта «Жилой дом по адресу: г. Самара, Октябрьский р-н., Советской Армии, 290А».</w:t>
      </w:r>
      <w:r w:rsidR="00E53888" w:rsidRPr="00E53888">
        <w:rPr>
          <w:rFonts w:ascii="Times New Roman" w:hAnsi="Times New Roman" w:cs="Times New Roman"/>
        </w:rPr>
        <w:t xml:space="preserve"> </w:t>
      </w:r>
      <w:r w:rsidRPr="00E52CE0">
        <w:rPr>
          <w:rFonts w:ascii="Times New Roman" w:hAnsi="Times New Roman" w:cs="Times New Roman"/>
          <w:bCs/>
          <w:iCs/>
        </w:rPr>
        <w:t>(далее – Объект),</w:t>
      </w:r>
      <w:r w:rsidR="007F79E5" w:rsidRPr="007F79E5">
        <w:t xml:space="preserve"> </w:t>
      </w:r>
      <w:r w:rsidRPr="00E52CE0">
        <w:rPr>
          <w:rFonts w:ascii="Times New Roman" w:hAnsi="Times New Roman" w:cs="Times New Roman"/>
          <w:bCs/>
          <w:iCs/>
        </w:rPr>
        <w:t xml:space="preserve">по содержанию и в объеме, указанном в Техническом задании (Приложение № 1 к Договору) и Сметном </w:t>
      </w:r>
      <w:proofErr w:type="gramStart"/>
      <w:r w:rsidRPr="00E52CE0">
        <w:rPr>
          <w:rFonts w:ascii="Times New Roman" w:hAnsi="Times New Roman" w:cs="Times New Roman"/>
          <w:bCs/>
          <w:iCs/>
        </w:rPr>
        <w:t xml:space="preserve">расчете  </w:t>
      </w:r>
      <w:r w:rsidR="00703CD6" w:rsidRPr="00E52CE0">
        <w:rPr>
          <w:rFonts w:ascii="Times New Roman" w:hAnsi="Times New Roman" w:cs="Times New Roman"/>
          <w:bCs/>
          <w:iCs/>
        </w:rPr>
        <w:t>стоимости</w:t>
      </w:r>
      <w:proofErr w:type="gramEnd"/>
      <w:r w:rsidR="00703CD6" w:rsidRPr="00E52CE0">
        <w:rPr>
          <w:rFonts w:ascii="Times New Roman" w:hAnsi="Times New Roman" w:cs="Times New Roman"/>
          <w:bCs/>
          <w:iCs/>
        </w:rPr>
        <w:t xml:space="preserve"> Работ</w:t>
      </w:r>
      <w:bookmarkStart w:id="0" w:name="_GoBack"/>
      <w:bookmarkEnd w:id="0"/>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w:t>
      </w:r>
      <w:r w:rsidR="00DE7465" w:rsidRPr="00E52CE0">
        <w:rPr>
          <w:rFonts w:ascii="Times New Roman" w:hAnsi="Times New Roman" w:cs="Times New Roman"/>
          <w:bCs/>
          <w:iCs/>
        </w:rPr>
        <w:lastRenderedPageBreak/>
        <w:t>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Выйти к Заказчику с предложением о внесении изменений в документацию на выполнение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последними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По запросу Заказчика предоставлять все необходимые документы,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F64E11">
        <w:rPr>
          <w:rFonts w:ascii="Times New Roman" w:hAnsi="Times New Roman" w:cs="Times New Roman"/>
          <w:sz w:val="22"/>
          <w:szCs w:val="22"/>
        </w:rPr>
        <w:t>2</w:t>
      </w:r>
      <w:r w:rsidR="00DE7465" w:rsidRPr="002F5F2D">
        <w:rPr>
          <w:rFonts w:ascii="Times New Roman" w:hAnsi="Times New Roman" w:cs="Times New Roman"/>
          <w:sz w:val="22"/>
          <w:szCs w:val="22"/>
        </w:rPr>
        <w:t xml:space="preserve"> к Договору) и составляет </w:t>
      </w:r>
      <w:r w:rsidR="005041CE">
        <w:rPr>
          <w:rFonts w:ascii="Times New Roman" w:hAnsi="Times New Roman" w:cs="Times New Roman"/>
          <w:sz w:val="22"/>
          <w:szCs w:val="22"/>
        </w:rPr>
        <w:t>_____</w:t>
      </w:r>
      <w:r w:rsidR="000C2F79" w:rsidRPr="0051492F">
        <w:rPr>
          <w:rFonts w:ascii="Times New Roman" w:hAnsi="Times New Roman" w:cs="Times New Roman"/>
          <w:sz w:val="22"/>
          <w:szCs w:val="22"/>
        </w:rPr>
        <w:t xml:space="preserve"> </w:t>
      </w:r>
      <w:r w:rsidR="00DE7465" w:rsidRPr="0051492F">
        <w:rPr>
          <w:rFonts w:ascii="Times New Roman" w:hAnsi="Times New Roman" w:cs="Times New Roman"/>
          <w:sz w:val="22"/>
          <w:szCs w:val="22"/>
        </w:rPr>
        <w:t>(</w:t>
      </w:r>
      <w:r w:rsidR="005041CE">
        <w:rPr>
          <w:rFonts w:ascii="Times New Roman" w:hAnsi="Times New Roman" w:cs="Times New Roman"/>
          <w:sz w:val="22"/>
          <w:szCs w:val="22"/>
        </w:rPr>
        <w:t>_____</w:t>
      </w:r>
      <w:r w:rsidR="00DE7465" w:rsidRPr="0051492F">
        <w:rPr>
          <w:rFonts w:ascii="Times New Roman" w:hAnsi="Times New Roman" w:cs="Times New Roman"/>
          <w:sz w:val="22"/>
          <w:szCs w:val="22"/>
        </w:rPr>
        <w:t>)</w:t>
      </w:r>
      <w:r w:rsidR="00267B77" w:rsidRPr="002F5F2D">
        <w:rPr>
          <w:rFonts w:ascii="Times New Roman" w:hAnsi="Times New Roman" w:cs="Times New Roman"/>
          <w:b/>
          <w:sz w:val="22"/>
          <w:szCs w:val="22"/>
        </w:rPr>
        <w:t xml:space="preserve"> </w:t>
      </w:r>
      <w:r w:rsidR="00267B77" w:rsidRPr="002F5F2D">
        <w:rPr>
          <w:rFonts w:ascii="Times New Roman" w:hAnsi="Times New Roman" w:cs="Times New Roman"/>
          <w:sz w:val="22"/>
          <w:szCs w:val="22"/>
        </w:rPr>
        <w:t>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в том числе НДС 20% -</w:t>
      </w:r>
      <w:r w:rsidR="0051492F">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____</w:t>
      </w:r>
      <w:r w:rsidR="000C2F79">
        <w:rPr>
          <w:rFonts w:ascii="Times New Roman" w:hAnsi="Times New Roman" w:cs="Times New Roman"/>
          <w:sz w:val="22"/>
          <w:szCs w:val="22"/>
        </w:rPr>
        <w:t>) рубл</w:t>
      </w:r>
      <w:r w:rsidR="0051492F">
        <w:rPr>
          <w:rFonts w:ascii="Times New Roman" w:hAnsi="Times New Roman" w:cs="Times New Roman"/>
          <w:sz w:val="22"/>
          <w:szCs w:val="22"/>
        </w:rPr>
        <w:t>ей</w:t>
      </w:r>
      <w:r w:rsidR="000C2F79">
        <w:rPr>
          <w:rFonts w:ascii="Times New Roman" w:hAnsi="Times New Roman" w:cs="Times New Roman"/>
          <w:sz w:val="22"/>
          <w:szCs w:val="22"/>
        </w:rPr>
        <w:t xml:space="preserve"> </w:t>
      </w:r>
      <w:r w:rsidR="005041CE">
        <w:rPr>
          <w:rFonts w:ascii="Times New Roman" w:hAnsi="Times New Roman" w:cs="Times New Roman"/>
          <w:sz w:val="22"/>
          <w:szCs w:val="22"/>
        </w:rPr>
        <w:t>___</w:t>
      </w:r>
      <w:r w:rsidR="000C2F79">
        <w:rPr>
          <w:rFonts w:ascii="Times New Roman" w:hAnsi="Times New Roman" w:cs="Times New Roman"/>
          <w:sz w:val="22"/>
          <w:szCs w:val="22"/>
        </w:rPr>
        <w:t xml:space="preserve"> копеек. </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lastRenderedPageBreak/>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 Техническим заданием (Приложение № 1), на основании выставленного счета на оплату и счета-фактуры.</w:t>
      </w:r>
    </w:p>
    <w:p w:rsidR="00F64E11" w:rsidRPr="005E10EE" w:rsidRDefault="00F64E11" w:rsidP="005E10EE">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F64E11"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w:t>
      </w:r>
      <w:r w:rsidR="00F64E11">
        <w:rPr>
          <w:rFonts w:ascii="Times New Roman" w:hAnsi="Times New Roman" w:cs="Times New Roman"/>
        </w:rPr>
        <w:t>.8</w:t>
      </w:r>
      <w:r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F64E11">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средств все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8"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t>обязан немедленно, в письменном виде, известить Заказчика и, до получения от него указаний, приостановить Работы.</w:t>
      </w:r>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w:t>
      </w:r>
      <w:r w:rsidR="00DE7465" w:rsidRPr="005814CF">
        <w:rPr>
          <w:rFonts w:ascii="Times New Roman" w:hAnsi="Times New Roman" w:cs="Times New Roman"/>
          <w:sz w:val="22"/>
          <w:szCs w:val="22"/>
        </w:rPr>
        <w:lastRenderedPageBreak/>
        <w:t xml:space="preserve">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7.2. Гарантийный срок нормальной эксплуатации Объекта устанавливается на 5 (пять) лет с даты подписания Сторонами Акта передачи Объекта от Подрядчика Заказчику. В случае</w:t>
      </w:r>
      <w:r w:rsidR="00984A29" w:rsidRPr="00E52CE0">
        <w:rPr>
          <w:rFonts w:ascii="Times New Roman" w:hAnsi="Times New Roman" w:cs="Times New Roman"/>
        </w:rPr>
        <w:t>,</w:t>
      </w:r>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w:t>
      </w:r>
      <w:r w:rsidRPr="00E52CE0">
        <w:rPr>
          <w:rFonts w:ascii="Times New Roman" w:hAnsi="Times New Roman" w:cs="Times New Roman"/>
        </w:rPr>
        <w:lastRenderedPageBreak/>
        <w:t>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r w:rsidR="001C1BFC" w:rsidRPr="002F5F2D">
        <w:rPr>
          <w:rFonts w:ascii="Times New Roman" w:eastAsiaTheme="minorHAnsi" w:hAnsi="Times New Roman" w:cs="Times New Roman"/>
          <w:sz w:val="22"/>
          <w:szCs w:val="22"/>
          <w:lang w:eastAsia="en-US"/>
        </w:rPr>
        <w:t>Указанные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9.8. 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9.9. 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lastRenderedPageBreak/>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 xml:space="preserve">10.1. За неисполнение либо ненадлежащее исполнение взятых на себя обязательств Стороны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10.5.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lastRenderedPageBreak/>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w:t>
      </w:r>
      <w:proofErr w:type="gramStart"/>
      <w:r w:rsidRPr="00E52CE0">
        <w:rPr>
          <w:rFonts w:ascii="Times New Roman" w:eastAsia="Times New Roman" w:hAnsi="Times New Roman" w:cs="Times New Roman"/>
          <w:lang w:eastAsia="ru-RU"/>
        </w:rPr>
        <w:t>с  применением</w:t>
      </w:r>
      <w:proofErr w:type="gramEnd"/>
      <w:r w:rsidRPr="00E52CE0">
        <w:rPr>
          <w:rFonts w:ascii="Times New Roman" w:eastAsia="Times New Roman" w:hAnsi="Times New Roman" w:cs="Times New Roman"/>
          <w:lang w:eastAsia="ru-RU"/>
        </w:rPr>
        <w:t xml:space="preserve"> штрафных санкций.</w:t>
      </w:r>
    </w:p>
    <w:p w:rsidR="00312E4E" w:rsidRPr="00E52CE0" w:rsidRDefault="00312E4E" w:rsidP="002F5F2D">
      <w:pPr>
        <w:pStyle w:val="a7"/>
        <w:ind w:left="0" w:firstLine="720"/>
        <w:jc w:val="both"/>
        <w:rPr>
          <w:sz w:val="22"/>
          <w:szCs w:val="22"/>
          <w:lang w:eastAsia="ru-RU"/>
        </w:rPr>
      </w:pPr>
      <w:r w:rsidRPr="00E52CE0">
        <w:rPr>
          <w:sz w:val="22"/>
          <w:szCs w:val="22"/>
          <w:lang w:eastAsia="ru-RU"/>
        </w:rPr>
        <w:t xml:space="preserve">Акт, указанный в настоящем пункте, в двух экземплярах направляется для подписания Заказчиком Подрядчику. В случае, если в течение 20 (двадцати) календарных дней с даты направления указанного Акта, Подрядчиком не предоставлен Заказчику подписанный </w:t>
      </w:r>
      <w:proofErr w:type="gramStart"/>
      <w:r w:rsidRPr="00E52CE0">
        <w:rPr>
          <w:sz w:val="22"/>
          <w:szCs w:val="22"/>
          <w:lang w:eastAsia="ru-RU"/>
        </w:rPr>
        <w:t>экземпляр  Акта</w:t>
      </w:r>
      <w:proofErr w:type="gramEnd"/>
      <w:r w:rsidRPr="00E52CE0">
        <w:rPr>
          <w:sz w:val="22"/>
          <w:szCs w:val="22"/>
          <w:lang w:eastAsia="ru-RU"/>
        </w:rPr>
        <w:t xml:space="preserve">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10.10. 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штрафов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может быть досрочно расторгнут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.8. Каждая из Сторон несет ответственность перед другой Стороной за достоверность и </w:t>
      </w:r>
      <w:r w:rsidR="0048430A" w:rsidRPr="00E52CE0">
        <w:rPr>
          <w:rFonts w:ascii="Times New Roman" w:eastAsiaTheme="minorHAnsi" w:hAnsi="Times New Roman" w:cs="Times New Roman"/>
          <w:sz w:val="22"/>
          <w:szCs w:val="22"/>
          <w:lang w:eastAsia="en-US"/>
        </w:rPr>
        <w:lastRenderedPageBreak/>
        <w:t>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0B728F"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0B728F"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51492F" w:rsidRPr="000B728F"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51492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51492F" w:rsidRPr="000B728F"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51492F" w:rsidRPr="000B728F"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51492F" w:rsidRPr="000B728F"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51492F" w:rsidRPr="000B728F"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widowControl w:val="0"/>
              <w:tabs>
                <w:tab w:val="left" w:pos="6229"/>
              </w:tabs>
              <w:suppressAutoHyphens/>
              <w:spacing w:after="0" w:line="240" w:lineRule="auto"/>
              <w:ind w:right="-286"/>
              <w:rPr>
                <w:rFonts w:ascii="Times New Roman" w:eastAsia="Times New Roman" w:hAnsi="Times New Roman" w:cs="Times New Roman"/>
                <w:bCs/>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Эл.почта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samcomsys</w:t>
            </w:r>
            <w:r w:rsidRPr="000B728F">
              <w:rPr>
                <w:rFonts w:ascii="Times New Roman" w:eastAsia="Times New Roman" w:hAnsi="Times New Roman" w:cs="Times New Roman"/>
                <w:bCs/>
                <w:lang w:eastAsia="zh-CN"/>
              </w:rPr>
              <w:t>.</w:t>
            </w:r>
            <w:r w:rsidRPr="000B728F">
              <w:rPr>
                <w:rFonts w:ascii="Times New Roman" w:eastAsia="Times New Roman" w:hAnsi="Times New Roman" w:cs="Times New Roman"/>
                <w:bCs/>
                <w:lang w:val="en-US" w:eastAsia="zh-CN"/>
              </w:rPr>
              <w:t>ru</w:t>
            </w:r>
          </w:p>
        </w:tc>
      </w:tr>
      <w:tr w:rsidR="0051492F" w:rsidRPr="000B728F"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9E058F">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51492F" w:rsidRPr="000B728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sidR="00280534">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280534" w:rsidRDefault="0051492F"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sidR="00280534">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51492F" w:rsidRPr="000E3D5F" w:rsidRDefault="0051492F"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кор.счет</w:t>
            </w:r>
            <w:proofErr w:type="spellEnd"/>
            <w:r w:rsidRPr="000B728F">
              <w:rPr>
                <w:rFonts w:ascii="Times New Roman" w:eastAsia="Times New Roman" w:hAnsi="Times New Roman" w:cs="Times New Roman"/>
                <w:bCs/>
                <w:lang w:eastAsia="zh-CN"/>
              </w:rPr>
              <w:t xml:space="preserve"> N 30101810</w:t>
            </w:r>
            <w:r w:rsidR="00280534" w:rsidRPr="000E3D5F">
              <w:rPr>
                <w:rFonts w:ascii="Times New Roman" w:eastAsia="Times New Roman" w:hAnsi="Times New Roman" w:cs="Times New Roman"/>
                <w:bCs/>
                <w:lang w:eastAsia="zh-CN"/>
              </w:rPr>
              <w:t>200000000823</w:t>
            </w:r>
          </w:p>
          <w:p w:rsidR="0051492F" w:rsidRPr="000E3D5F" w:rsidRDefault="0051492F" w:rsidP="00280534">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00280534" w:rsidRPr="000E3D5F">
              <w:rPr>
                <w:rFonts w:ascii="Times New Roman" w:eastAsia="Times New Roman" w:hAnsi="Times New Roman" w:cs="Times New Roman"/>
                <w:bCs/>
                <w:lang w:eastAsia="zh-CN"/>
              </w:rPr>
              <w:t>4525823</w:t>
            </w:r>
          </w:p>
        </w:tc>
      </w:tr>
      <w:tr w:rsidR="0051492F" w:rsidRPr="000B728F"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51492F" w:rsidRPr="000B728F" w:rsidRDefault="0051492F" w:rsidP="004E4388">
            <w:pPr>
              <w:widowControl w:val="0"/>
              <w:tabs>
                <w:tab w:val="left" w:pos="6229"/>
              </w:tabs>
              <w:suppressAutoHyphens/>
              <w:spacing w:after="0" w:line="36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1492F" w:rsidRPr="000B728F" w:rsidRDefault="0051492F"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51492F" w:rsidRPr="000B728F" w:rsidRDefault="0051492F"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500F93" w:rsidRPr="000B728F" w:rsidTr="00A012C4">
        <w:tblPrEx>
          <w:tblCellMar>
            <w:left w:w="0" w:type="dxa"/>
            <w:right w:w="0" w:type="dxa"/>
          </w:tblCellMar>
        </w:tblPrEx>
        <w:trPr>
          <w:trHeight w:val="307"/>
        </w:trPr>
        <w:tc>
          <w:tcPr>
            <w:tcW w:w="993"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0B728F" w:rsidTr="00A012C4">
        <w:tblPrEx>
          <w:tblCellMar>
            <w:left w:w="0" w:type="dxa"/>
            <w:right w:w="0" w:type="dxa"/>
          </w:tblCellMar>
        </w:tblPrEx>
        <w:trPr>
          <w:trHeight w:val="417"/>
        </w:trPr>
        <w:tc>
          <w:tcPr>
            <w:tcW w:w="993" w:type="dxa"/>
            <w:shd w:val="clear" w:color="auto" w:fill="auto"/>
          </w:tcPr>
          <w:p w:rsidR="00500F93" w:rsidRPr="000B728F" w:rsidRDefault="00500F93" w:rsidP="00500F93">
            <w:pPr>
              <w:suppressLineNumbers/>
              <w:suppressAutoHyphens/>
              <w:snapToGrid w:val="0"/>
              <w:spacing w:after="0" w:line="240" w:lineRule="auto"/>
              <w:rPr>
                <w:rFonts w:ascii="Times New Roman" w:eastAsia="Times New Roman" w:hAnsi="Times New Roman" w:cs="Times New Roman"/>
                <w:lang w:eastAsia="zh-CN"/>
              </w:rPr>
            </w:pPr>
          </w:p>
        </w:tc>
        <w:tc>
          <w:tcPr>
            <w:tcW w:w="5103" w:type="dxa"/>
            <w:gridSpan w:val="2"/>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0B728F" w:rsidRDefault="00500F93" w:rsidP="00A012C4">
            <w:pPr>
              <w:suppressAutoHyphens/>
              <w:spacing w:after="0" w:line="240" w:lineRule="auto"/>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w:t>
            </w:r>
            <w:r w:rsidR="00A012C4" w:rsidRPr="000B728F">
              <w:rPr>
                <w:rFonts w:ascii="Times New Roman" w:eastAsia="Times New Roman" w:hAnsi="Times New Roman" w:cs="Times New Roman"/>
                <w:lang w:eastAsia="zh-CN"/>
              </w:rPr>
              <w:t>2</w:t>
            </w:r>
            <w:r w:rsidRPr="000B728F">
              <w:rPr>
                <w:rFonts w:ascii="Times New Roman" w:eastAsia="Times New Roman" w:hAnsi="Times New Roman" w:cs="Times New Roman"/>
                <w:lang w:eastAsia="zh-CN"/>
              </w:rPr>
              <w:t xml:space="preserve"> г.</w:t>
            </w:r>
          </w:p>
        </w:tc>
        <w:tc>
          <w:tcPr>
            <w:tcW w:w="4655" w:type="dxa"/>
            <w:gridSpan w:val="2"/>
            <w:shd w:val="clear" w:color="auto" w:fill="auto"/>
          </w:tcPr>
          <w:p w:rsidR="00500F93" w:rsidRPr="000B728F"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0B728F" w:rsidRDefault="00A012C4" w:rsidP="00500F93">
            <w:pPr>
              <w:suppressAutoHyphens/>
              <w:spacing w:after="0" w:line="240" w:lineRule="auto"/>
              <w:jc w:val="both"/>
              <w:rPr>
                <w:rFonts w:ascii="Times New Roman" w:eastAsia="Times New Roman" w:hAnsi="Times New Roman" w:cs="Times New Roman"/>
                <w:lang w:eastAsia="zh-CN"/>
              </w:rPr>
            </w:pPr>
            <w:r w:rsidRPr="000B728F">
              <w:rPr>
                <w:rFonts w:ascii="Times New Roman" w:eastAsia="Times New Roman" w:hAnsi="Times New Roman" w:cs="Times New Roman"/>
                <w:lang w:eastAsia="zh-CN"/>
              </w:rPr>
              <w:t>М.П.«____»___________2022</w:t>
            </w:r>
            <w:r w:rsidR="00500F93" w:rsidRPr="000B728F">
              <w:rPr>
                <w:rFonts w:ascii="Times New Roman" w:eastAsia="Times New Roman" w:hAnsi="Times New Roman" w:cs="Times New Roman"/>
                <w:lang w:eastAsia="zh-CN"/>
              </w:rPr>
              <w:t xml:space="preserve"> г.</w:t>
            </w:r>
          </w:p>
          <w:p w:rsidR="00500F93" w:rsidRPr="000B728F"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0B728F"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9"/>
      <w:headerReference w:type="default" r:id="rId10"/>
      <w:footerReference w:type="even" r:id="rId11"/>
      <w:footerReference w:type="default" r:id="rId12"/>
      <w:headerReference w:type="first" r:id="rId13"/>
      <w:footerReference w:type="first" r:id="rId14"/>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15:restartNumberingAfterBreak="0">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15:restartNumberingAfterBreak="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15:restartNumberingAfterBreak="0">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15:restartNumberingAfterBreak="0">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15:restartNumberingAfterBreak="0">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23CD2"/>
    <w:rsid w:val="00031AE5"/>
    <w:rsid w:val="00045B02"/>
    <w:rsid w:val="00085B0A"/>
    <w:rsid w:val="000A0B07"/>
    <w:rsid w:val="000B42F7"/>
    <w:rsid w:val="000B728F"/>
    <w:rsid w:val="000C0FF6"/>
    <w:rsid w:val="000C2F79"/>
    <w:rsid w:val="000E3D5F"/>
    <w:rsid w:val="000F1319"/>
    <w:rsid w:val="00105BD9"/>
    <w:rsid w:val="00125D35"/>
    <w:rsid w:val="00147281"/>
    <w:rsid w:val="00152126"/>
    <w:rsid w:val="00155B22"/>
    <w:rsid w:val="001C1BFC"/>
    <w:rsid w:val="0023254C"/>
    <w:rsid w:val="002378EC"/>
    <w:rsid w:val="00240B2B"/>
    <w:rsid w:val="00267B77"/>
    <w:rsid w:val="002749DC"/>
    <w:rsid w:val="00280534"/>
    <w:rsid w:val="00281326"/>
    <w:rsid w:val="002B58F7"/>
    <w:rsid w:val="002D07F7"/>
    <w:rsid w:val="002F5F2D"/>
    <w:rsid w:val="002F6578"/>
    <w:rsid w:val="002F74C5"/>
    <w:rsid w:val="00312E4E"/>
    <w:rsid w:val="00322DBA"/>
    <w:rsid w:val="003B03A2"/>
    <w:rsid w:val="003B1CCA"/>
    <w:rsid w:val="00416A2E"/>
    <w:rsid w:val="00421096"/>
    <w:rsid w:val="00453AF3"/>
    <w:rsid w:val="0048430A"/>
    <w:rsid w:val="004861C8"/>
    <w:rsid w:val="004B4FA3"/>
    <w:rsid w:val="004C521D"/>
    <w:rsid w:val="004E4388"/>
    <w:rsid w:val="004E7B4D"/>
    <w:rsid w:val="00500F93"/>
    <w:rsid w:val="005041CE"/>
    <w:rsid w:val="0051492F"/>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878A2"/>
    <w:rsid w:val="006B528E"/>
    <w:rsid w:val="006C3DED"/>
    <w:rsid w:val="006E425E"/>
    <w:rsid w:val="006F7B4E"/>
    <w:rsid w:val="00703CD6"/>
    <w:rsid w:val="00712E2D"/>
    <w:rsid w:val="007236D9"/>
    <w:rsid w:val="00724E04"/>
    <w:rsid w:val="00743F2D"/>
    <w:rsid w:val="00755D0D"/>
    <w:rsid w:val="00770839"/>
    <w:rsid w:val="007841D4"/>
    <w:rsid w:val="00791086"/>
    <w:rsid w:val="00791440"/>
    <w:rsid w:val="007D356A"/>
    <w:rsid w:val="007E3A31"/>
    <w:rsid w:val="007F55FA"/>
    <w:rsid w:val="007F6A7F"/>
    <w:rsid w:val="007F79E5"/>
    <w:rsid w:val="00801AF2"/>
    <w:rsid w:val="0085157C"/>
    <w:rsid w:val="00852DCE"/>
    <w:rsid w:val="0087145C"/>
    <w:rsid w:val="00880A2F"/>
    <w:rsid w:val="008918E1"/>
    <w:rsid w:val="0089372F"/>
    <w:rsid w:val="008B2C95"/>
    <w:rsid w:val="008B68D7"/>
    <w:rsid w:val="008C2257"/>
    <w:rsid w:val="008E028C"/>
    <w:rsid w:val="008F24BC"/>
    <w:rsid w:val="008F2B6D"/>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D669A"/>
    <w:rsid w:val="00B07BF3"/>
    <w:rsid w:val="00B4168F"/>
    <w:rsid w:val="00B4513C"/>
    <w:rsid w:val="00B4642A"/>
    <w:rsid w:val="00B51C0A"/>
    <w:rsid w:val="00B678AA"/>
    <w:rsid w:val="00B9714E"/>
    <w:rsid w:val="00BA1523"/>
    <w:rsid w:val="00BA7DCB"/>
    <w:rsid w:val="00BB6D3A"/>
    <w:rsid w:val="00BC3F4B"/>
    <w:rsid w:val="00BE6DAD"/>
    <w:rsid w:val="00BE7D63"/>
    <w:rsid w:val="00C209F2"/>
    <w:rsid w:val="00C46901"/>
    <w:rsid w:val="00C71F54"/>
    <w:rsid w:val="00C855BA"/>
    <w:rsid w:val="00C94C41"/>
    <w:rsid w:val="00CD4E68"/>
    <w:rsid w:val="00D46E59"/>
    <w:rsid w:val="00D6494E"/>
    <w:rsid w:val="00DC2577"/>
    <w:rsid w:val="00DE7465"/>
    <w:rsid w:val="00DF3C12"/>
    <w:rsid w:val="00DF44DF"/>
    <w:rsid w:val="00E068AD"/>
    <w:rsid w:val="00E138DA"/>
    <w:rsid w:val="00E226B1"/>
    <w:rsid w:val="00E52CE0"/>
    <w:rsid w:val="00E53888"/>
    <w:rsid w:val="00E62809"/>
    <w:rsid w:val="00E66D33"/>
    <w:rsid w:val="00E81648"/>
    <w:rsid w:val="00E87302"/>
    <w:rsid w:val="00E91504"/>
    <w:rsid w:val="00EA25CE"/>
    <w:rsid w:val="00F120D8"/>
    <w:rsid w:val="00F31A85"/>
    <w:rsid w:val="00F35C1A"/>
    <w:rsid w:val="00F60FDB"/>
    <w:rsid w:val="00F64E11"/>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FC3268-028F-49C4-A392-0CEA25F46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81270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66693&amp;dst=100009&amp;field=134&amp;date=02.02.202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2E2B9-E958-44FD-86F5-17A795094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11</Pages>
  <Words>6101</Words>
  <Characters>34777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Шляхова Инна Игоревна</cp:lastModifiedBy>
  <cp:revision>27</cp:revision>
  <cp:lastPrinted>2022-05-20T09:26:00Z</cp:lastPrinted>
  <dcterms:created xsi:type="dcterms:W3CDTF">2022-02-10T12:48:00Z</dcterms:created>
  <dcterms:modified xsi:type="dcterms:W3CDTF">2022-10-20T06:14:00Z</dcterms:modified>
</cp:coreProperties>
</file>